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7CD30" w14:textId="4510B92E" w:rsidR="00D71205" w:rsidRDefault="00D71205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9CE577" w14:textId="771BD234" w:rsidR="00D5780C" w:rsidRDefault="00D5780C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5C1C24" w14:textId="45B03F4F" w:rsidR="00D5780C" w:rsidRDefault="00D5780C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799651" w14:textId="74884D7B" w:rsidR="00D5780C" w:rsidRDefault="00D5780C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6065" w14:textId="31ABCE25" w:rsidR="00D5780C" w:rsidRDefault="00D5780C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71037E9" w14:textId="343DB0A6" w:rsidR="00D5780C" w:rsidRDefault="00D5780C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AEA353" w14:textId="6FBC8AE1" w:rsidR="00D5780C" w:rsidRDefault="00D5780C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28D0E0" w14:textId="77777777" w:rsidR="00D5780C" w:rsidRPr="002C278C" w:rsidRDefault="00D5780C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C77AB0" w14:textId="1A167248" w:rsidR="009B6304" w:rsidRPr="002C278C" w:rsidRDefault="00E12205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Article </w:t>
      </w:r>
      <w:r w:rsidR="008776BE" w:rsidRPr="002C278C">
        <w:rPr>
          <w:rFonts w:ascii="Times New Roman" w:hAnsi="Times New Roman" w:cs="Times New Roman"/>
          <w:sz w:val="24"/>
          <w:szCs w:val="24"/>
        </w:rPr>
        <w:t>Summary and Reflection</w:t>
      </w:r>
    </w:p>
    <w:p w14:paraId="36BA7A05" w14:textId="589881B3" w:rsidR="00D71205" w:rsidRPr="002C278C" w:rsidRDefault="00E12205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2C278C">
        <w:rPr>
          <w:rFonts w:ascii="Times New Roman" w:hAnsi="Times New Roman" w:cs="Times New Roman"/>
          <w:sz w:val="24"/>
          <w:szCs w:val="24"/>
        </w:rPr>
        <w:t>Name</w:t>
      </w:r>
    </w:p>
    <w:p w14:paraId="1998CA1F" w14:textId="442F28CE" w:rsidR="00D71205" w:rsidRPr="002C278C" w:rsidRDefault="00E12205" w:rsidP="00D5780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78C">
        <w:rPr>
          <w:rFonts w:ascii="Times New Roman" w:hAnsi="Times New Roman" w:cs="Times New Roman"/>
          <w:sz w:val="24"/>
          <w:szCs w:val="24"/>
        </w:rPr>
        <w:t>Institutional Affiliation</w:t>
      </w:r>
      <w:r w:rsidR="00D5780C">
        <w:rPr>
          <w:rFonts w:ascii="Times New Roman" w:hAnsi="Times New Roman" w:cs="Times New Roman"/>
          <w:sz w:val="24"/>
          <w:szCs w:val="24"/>
        </w:rPr>
        <w:t>s</w:t>
      </w:r>
    </w:p>
    <w:p w14:paraId="6F01BE65" w14:textId="77777777" w:rsidR="00D5780C" w:rsidRDefault="00E12205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8EC262" w14:textId="10BAF2D0" w:rsidR="00D71205" w:rsidRPr="002C278C" w:rsidRDefault="00E12205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Article </w:t>
      </w:r>
      <w:r w:rsidRPr="002C278C">
        <w:rPr>
          <w:rFonts w:ascii="Times New Roman" w:hAnsi="Times New Roman" w:cs="Times New Roman"/>
          <w:sz w:val="24"/>
          <w:szCs w:val="24"/>
        </w:rPr>
        <w:t>Summary and Reflection</w:t>
      </w:r>
    </w:p>
    <w:p w14:paraId="20C3E925" w14:textId="73F6F157" w:rsidR="00EE38DF" w:rsidRPr="002C278C" w:rsidRDefault="00E12205" w:rsidP="002C278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C278C">
        <w:rPr>
          <w:rFonts w:ascii="Times New Roman" w:hAnsi="Times New Roman" w:cs="Times New Roman"/>
          <w:sz w:val="24"/>
          <w:szCs w:val="24"/>
        </w:rPr>
        <w:t>The article by Turner,</w:t>
      </w:r>
      <w:r w:rsidR="00020DA5" w:rsidRPr="002C278C">
        <w:rPr>
          <w:rFonts w:ascii="Times New Roman" w:hAnsi="Times New Roman" w:cs="Times New Roman"/>
          <w:sz w:val="24"/>
          <w:szCs w:val="24"/>
        </w:rPr>
        <w:t xml:space="preserve"> Hartman</w:t>
      </w:r>
      <w:r w:rsidRPr="002C278C">
        <w:rPr>
          <w:rFonts w:ascii="Times New Roman" w:hAnsi="Times New Roman" w:cs="Times New Roman"/>
          <w:sz w:val="24"/>
          <w:szCs w:val="24"/>
        </w:rPr>
        <w:t xml:space="preserve"> and Bishop</w:t>
      </w:r>
      <w:r w:rsidR="00DB6068" w:rsidRPr="002C278C">
        <w:rPr>
          <w:rFonts w:ascii="Times New Roman" w:hAnsi="Times New Roman" w:cs="Times New Roman"/>
          <w:sz w:val="24"/>
          <w:szCs w:val="24"/>
        </w:rPr>
        <w:t xml:space="preserve"> (2007)</w:t>
      </w:r>
      <w:r w:rsidR="00020DA5" w:rsidRPr="002C278C">
        <w:rPr>
          <w:rFonts w:ascii="Times New Roman" w:hAnsi="Times New Roman" w:cs="Times New Roman"/>
          <w:sz w:val="24"/>
          <w:szCs w:val="24"/>
        </w:rPr>
        <w:t xml:space="preserve"> examines Moffitt’s dual taxonomy theory of offending. The theory supports the concept that neuropsychological deficits interact with disadvantaged environments to anticipate life-course persistence offending. It is important to comprehend that the study at hand demonstrated that macro-level structural aspects functioning at the neighbourhood level take part in moderating the effects of both individual and family level risks for violet ad chronic juvenile offending. </w:t>
      </w:r>
      <w:r w:rsidR="00F16321" w:rsidRPr="002C278C">
        <w:rPr>
          <w:rFonts w:ascii="Times New Roman" w:hAnsi="Times New Roman" w:cs="Times New Roman"/>
          <w:sz w:val="24"/>
          <w:szCs w:val="24"/>
        </w:rPr>
        <w:t>It is unfortunate that poor black Americans who live in the neighbourhoods, which are ecologically distinct from those poor whites appear to exacerbate the criminogenic effects of individual-level deficits and family disadvantages</w:t>
      </w:r>
      <w:r w:rsidR="00BC10BC" w:rsidRPr="002C278C">
        <w:rPr>
          <w:rFonts w:ascii="Times New Roman" w:hAnsi="Times New Roman" w:cs="Times New Roman"/>
          <w:sz w:val="24"/>
          <w:szCs w:val="24"/>
        </w:rPr>
        <w:t xml:space="preserve"> (Turner, Hartman, &amp; Bishop, 2007)</w:t>
      </w:r>
      <w:r w:rsidR="00F16321" w:rsidRPr="002C278C">
        <w:rPr>
          <w:rFonts w:ascii="Times New Roman" w:hAnsi="Times New Roman" w:cs="Times New Roman"/>
          <w:sz w:val="24"/>
          <w:szCs w:val="24"/>
        </w:rPr>
        <w:t>. Notably, people from such environments might be implicated in the development of individual-level deficits as well as family dysfunction.</w:t>
      </w:r>
      <w:r w:rsidR="007751B2" w:rsidRPr="002C278C">
        <w:rPr>
          <w:rFonts w:ascii="Times New Roman" w:hAnsi="Times New Roman" w:cs="Times New Roman"/>
          <w:sz w:val="24"/>
          <w:szCs w:val="24"/>
        </w:rPr>
        <w:t xml:space="preserve"> On the same note, Ferreira (2016) conquers with the article above by pointing out a number of disadvantages that poor black Americans face as compared to the whites. </w:t>
      </w:r>
      <w:r w:rsidR="004273F4" w:rsidRPr="002C278C">
        <w:rPr>
          <w:rFonts w:ascii="Times New Roman" w:hAnsi="Times New Roman" w:cs="Times New Roman"/>
          <w:sz w:val="24"/>
          <w:szCs w:val="24"/>
        </w:rPr>
        <w:t>In particular, Ferreira explains the existence of offending by people via the analysis of the impact of various events at different stages of life as antisocial behavior develops</w:t>
      </w:r>
      <w:r w:rsidR="00044AAC" w:rsidRPr="002C278C">
        <w:rPr>
          <w:rFonts w:ascii="Times New Roman" w:hAnsi="Times New Roman" w:cs="Times New Roman"/>
          <w:sz w:val="24"/>
          <w:szCs w:val="24"/>
        </w:rPr>
        <w:t xml:space="preserve"> (Ferreira, 2016)</w:t>
      </w:r>
      <w:r w:rsidR="004273F4" w:rsidRPr="002C278C">
        <w:rPr>
          <w:rFonts w:ascii="Times New Roman" w:hAnsi="Times New Roman" w:cs="Times New Roman"/>
          <w:sz w:val="24"/>
          <w:szCs w:val="24"/>
        </w:rPr>
        <w:t xml:space="preserve">. </w:t>
      </w:r>
      <w:r w:rsidR="007C73AD" w:rsidRPr="002C278C">
        <w:rPr>
          <w:rFonts w:ascii="Times New Roman" w:hAnsi="Times New Roman" w:cs="Times New Roman"/>
          <w:sz w:val="24"/>
          <w:szCs w:val="24"/>
        </w:rPr>
        <w:t xml:space="preserve">Furthermore, the author proposes an </w:t>
      </w:r>
      <w:r w:rsidRPr="002C278C">
        <w:rPr>
          <w:rFonts w:ascii="Times New Roman" w:hAnsi="Times New Roman" w:cs="Times New Roman"/>
          <w:sz w:val="24"/>
          <w:szCs w:val="24"/>
        </w:rPr>
        <w:t>a</w:t>
      </w:r>
      <w:r w:rsidRPr="002C278C">
        <w:rPr>
          <w:rFonts w:ascii="Times New Roman" w:hAnsi="Times New Roman" w:cs="Times New Roman"/>
          <w:sz w:val="24"/>
          <w:szCs w:val="24"/>
        </w:rPr>
        <w:t>dolescence-limited</w:t>
      </w:r>
      <w:r w:rsidR="007C73AD" w:rsidRPr="002C278C">
        <w:rPr>
          <w:rFonts w:ascii="Times New Roman" w:hAnsi="Times New Roman" w:cs="Times New Roman"/>
          <w:sz w:val="24"/>
          <w:szCs w:val="24"/>
        </w:rPr>
        <w:t xml:space="preserve"> group of offenders as well as a life course persistent one. Precisely, the aforementioned groups emerge from the distinction between temporary and persistent antisocial behavior.  </w:t>
      </w:r>
    </w:p>
    <w:p w14:paraId="36257371" w14:textId="2A31A4C9" w:rsidR="001E39AA" w:rsidRPr="002C278C" w:rsidRDefault="00E12205" w:rsidP="001D555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C278C">
        <w:rPr>
          <w:rFonts w:ascii="Times New Roman" w:hAnsi="Times New Roman" w:cs="Times New Roman"/>
          <w:sz w:val="24"/>
          <w:szCs w:val="24"/>
        </w:rPr>
        <w:t>Overall</w:t>
      </w:r>
      <w:r w:rsidR="00750C7A" w:rsidRPr="002C278C">
        <w:rPr>
          <w:rFonts w:ascii="Times New Roman" w:hAnsi="Times New Roman" w:cs="Times New Roman"/>
          <w:sz w:val="24"/>
          <w:szCs w:val="24"/>
        </w:rPr>
        <w:t xml:space="preserve">, I </w:t>
      </w:r>
      <w:r w:rsidR="0020059B" w:rsidRPr="002C278C">
        <w:rPr>
          <w:rFonts w:ascii="Times New Roman" w:hAnsi="Times New Roman" w:cs="Times New Roman"/>
          <w:sz w:val="24"/>
          <w:szCs w:val="24"/>
        </w:rPr>
        <w:t>support</w:t>
      </w:r>
      <w:r w:rsidR="00750C7A" w:rsidRPr="002C278C">
        <w:rPr>
          <w:rFonts w:ascii="Times New Roman" w:hAnsi="Times New Roman" w:cs="Times New Roman"/>
          <w:sz w:val="24"/>
          <w:szCs w:val="24"/>
        </w:rPr>
        <w:t xml:space="preserve"> </w:t>
      </w:r>
      <w:r w:rsidR="0020059B" w:rsidRPr="002C278C">
        <w:rPr>
          <w:rFonts w:ascii="Times New Roman" w:hAnsi="Times New Roman" w:cs="Times New Roman"/>
          <w:sz w:val="24"/>
          <w:szCs w:val="24"/>
        </w:rPr>
        <w:t>Turner, Hartman, and Bishop</w:t>
      </w:r>
      <w:r w:rsidR="00750C7A" w:rsidRPr="002C278C">
        <w:rPr>
          <w:rFonts w:ascii="Times New Roman" w:hAnsi="Times New Roman" w:cs="Times New Roman"/>
          <w:sz w:val="24"/>
          <w:szCs w:val="24"/>
        </w:rPr>
        <w:t xml:space="preserve">’s position on the conditions experienced by the poor non-whites and poor whites. </w:t>
      </w:r>
      <w:r w:rsidR="00EF1BE7" w:rsidRPr="002C278C">
        <w:rPr>
          <w:rFonts w:ascii="Times New Roman" w:hAnsi="Times New Roman" w:cs="Times New Roman"/>
          <w:sz w:val="24"/>
          <w:szCs w:val="24"/>
        </w:rPr>
        <w:t xml:space="preserve">In fact, the </w:t>
      </w:r>
      <w:r w:rsidR="00CB7FE8" w:rsidRPr="002C278C">
        <w:rPr>
          <w:rFonts w:ascii="Times New Roman" w:hAnsi="Times New Roman" w:cs="Times New Roman"/>
          <w:sz w:val="24"/>
          <w:szCs w:val="24"/>
        </w:rPr>
        <w:t>environment available for poor non-white plays</w:t>
      </w:r>
      <w:r w:rsidR="00EF1BE7" w:rsidRPr="002C278C">
        <w:rPr>
          <w:rFonts w:ascii="Times New Roman" w:hAnsi="Times New Roman" w:cs="Times New Roman"/>
          <w:sz w:val="24"/>
          <w:szCs w:val="24"/>
        </w:rPr>
        <w:t xml:space="preserve"> a critical role in affecting individual neuropsychological status as well as family life.</w:t>
      </w:r>
      <w:r w:rsidR="00CB7FE8" w:rsidRPr="002C278C">
        <w:rPr>
          <w:rFonts w:ascii="Times New Roman" w:hAnsi="Times New Roman" w:cs="Times New Roman"/>
          <w:sz w:val="24"/>
          <w:szCs w:val="24"/>
        </w:rPr>
        <w:t xml:space="preserve"> It is important to understand that the aforementioned conditions take a considerable part in shaping the youth</w:t>
      </w:r>
      <w:r w:rsidR="00EC57D5">
        <w:rPr>
          <w:rFonts w:ascii="Times New Roman" w:hAnsi="Times New Roman" w:cs="Times New Roman"/>
          <w:sz w:val="24"/>
          <w:szCs w:val="24"/>
        </w:rPr>
        <w:t>’s</w:t>
      </w:r>
      <w:r w:rsidR="00CB7FE8" w:rsidRPr="002C278C">
        <w:rPr>
          <w:rFonts w:ascii="Times New Roman" w:hAnsi="Times New Roman" w:cs="Times New Roman"/>
          <w:sz w:val="24"/>
          <w:szCs w:val="24"/>
        </w:rPr>
        <w:t xml:space="preserve"> development. Therefore, one can conclude that the available biosocial interactions </w:t>
      </w:r>
      <w:r w:rsidR="00CB7FE8" w:rsidRPr="002C278C">
        <w:rPr>
          <w:rFonts w:ascii="Times New Roman" w:hAnsi="Times New Roman" w:cs="Times New Roman"/>
          <w:sz w:val="24"/>
          <w:szCs w:val="24"/>
        </w:rPr>
        <w:lastRenderedPageBreak/>
        <w:t xml:space="preserve">between the aforementioned groups play a vital role in predicting life-course-persistent offending among non-whites in disadvantaged areas. In addition, I conquer with the authors that macro-level structural aspects take part in moderating the effects of individual and family risks. </w:t>
      </w:r>
      <w:r w:rsidR="00DD17FC" w:rsidRPr="002C278C">
        <w:rPr>
          <w:rFonts w:ascii="Times New Roman" w:hAnsi="Times New Roman" w:cs="Times New Roman"/>
          <w:sz w:val="24"/>
          <w:szCs w:val="24"/>
        </w:rPr>
        <w:t>In fact</w:t>
      </w:r>
      <w:r w:rsidR="00CB7FE8" w:rsidRPr="002C278C">
        <w:rPr>
          <w:rFonts w:ascii="Times New Roman" w:hAnsi="Times New Roman" w:cs="Times New Roman"/>
          <w:sz w:val="24"/>
          <w:szCs w:val="24"/>
        </w:rPr>
        <w:t>, it is evident that the poor blacks live in neighbourhoods that are ecologically distinct from those poor whites stay. The aforementioned situation exacerbates the criminogenic effects of personal-level deficits as well as family disadvantage.</w:t>
      </w:r>
      <w:r w:rsidR="00DD17FC" w:rsidRPr="002C278C">
        <w:rPr>
          <w:rFonts w:ascii="Times New Roman" w:hAnsi="Times New Roman" w:cs="Times New Roman"/>
          <w:sz w:val="24"/>
          <w:szCs w:val="24"/>
        </w:rPr>
        <w:t xml:space="preserve"> In simple terms, the prenatal issues, family functioning, as well a neighbourhood disadvantages help in predicting life-course-persistent offending. </w:t>
      </w:r>
    </w:p>
    <w:p w14:paraId="176ABF70" w14:textId="77777777" w:rsidR="001D5555" w:rsidRDefault="00E12205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CA8746" w14:textId="206D2D2C" w:rsidR="00044AAC" w:rsidRPr="002C278C" w:rsidRDefault="00E12205" w:rsidP="002C27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78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5B45E5F" w14:textId="77777777" w:rsidR="00044AAC" w:rsidRPr="002C278C" w:rsidRDefault="00E12205" w:rsidP="002C278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278C">
        <w:rPr>
          <w:rFonts w:ascii="Times New Roman" w:hAnsi="Times New Roman" w:cs="Times New Roman"/>
          <w:sz w:val="24"/>
          <w:szCs w:val="24"/>
        </w:rPr>
        <w:t>Ferreira, J. (2016). Life-course criminology: comparing the dual taxo</w:t>
      </w:r>
      <w:r w:rsidRPr="002C278C">
        <w:rPr>
          <w:rFonts w:ascii="Times New Roman" w:hAnsi="Times New Roman" w:cs="Times New Roman"/>
          <w:sz w:val="24"/>
          <w:szCs w:val="24"/>
        </w:rPr>
        <w:t xml:space="preserve">nomy and age-graded theories of criminal behavior. </w:t>
      </w:r>
      <w:r w:rsidRPr="002C278C">
        <w:rPr>
          <w:rFonts w:ascii="Times New Roman" w:hAnsi="Times New Roman" w:cs="Times New Roman"/>
          <w:i/>
          <w:sz w:val="24"/>
          <w:szCs w:val="24"/>
        </w:rPr>
        <w:t>Inquiries Journal</w:t>
      </w:r>
      <w:r w:rsidRPr="002C278C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6" w:history="1">
        <w:r w:rsidRPr="002C278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http://www.i</w:t>
        </w:r>
        <w:r w:rsidRPr="002C278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nquiriesjournal.com/articles/1421/life-course-criminology-comparing-the-dual-taxonomy-and-age-graded-theories-of-criminal-behavior</w:t>
        </w:r>
      </w:hyperlink>
      <w:r w:rsidRPr="002C278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954978" w14:textId="54516AFA" w:rsidR="00FA6B1A" w:rsidRPr="002C278C" w:rsidRDefault="00E12205" w:rsidP="002C278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C278C">
        <w:rPr>
          <w:rFonts w:ascii="Times New Roman" w:hAnsi="Times New Roman" w:cs="Times New Roman"/>
          <w:sz w:val="24"/>
          <w:szCs w:val="24"/>
        </w:rPr>
        <w:t>Turner, M. G., Hartman, J. L., &amp; Bishop, D. M. (2007). The effects of prenatal problems, family functioning, and neighborho</w:t>
      </w:r>
      <w:r w:rsidRPr="002C278C">
        <w:rPr>
          <w:rFonts w:ascii="Times New Roman" w:hAnsi="Times New Roman" w:cs="Times New Roman"/>
          <w:sz w:val="24"/>
          <w:szCs w:val="24"/>
        </w:rPr>
        <w:t>od disadvantage in predicting life-course-persistent offending. </w:t>
      </w:r>
      <w:r w:rsidRPr="002C278C">
        <w:rPr>
          <w:rFonts w:ascii="Times New Roman" w:hAnsi="Times New Roman" w:cs="Times New Roman"/>
          <w:i/>
          <w:iCs/>
          <w:sz w:val="24"/>
          <w:szCs w:val="24"/>
        </w:rPr>
        <w:t>Criminal Justice and Behavior</w:t>
      </w:r>
      <w:r w:rsidRPr="002C278C">
        <w:rPr>
          <w:rFonts w:ascii="Times New Roman" w:hAnsi="Times New Roman" w:cs="Times New Roman"/>
          <w:sz w:val="24"/>
          <w:szCs w:val="24"/>
        </w:rPr>
        <w:t>, </w:t>
      </w:r>
      <w:r w:rsidRPr="002C278C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2C278C">
        <w:rPr>
          <w:rFonts w:ascii="Times New Roman" w:hAnsi="Times New Roman" w:cs="Times New Roman"/>
          <w:sz w:val="24"/>
          <w:szCs w:val="24"/>
        </w:rPr>
        <w:t>(10), 1241-1261.</w:t>
      </w:r>
    </w:p>
    <w:sectPr w:rsidR="00FA6B1A" w:rsidRPr="002C278C" w:rsidSect="00D7120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814F1" w14:textId="77777777" w:rsidR="00E12205" w:rsidRDefault="00E12205">
      <w:pPr>
        <w:spacing w:after="0" w:line="240" w:lineRule="auto"/>
      </w:pPr>
      <w:r>
        <w:separator/>
      </w:r>
    </w:p>
  </w:endnote>
  <w:endnote w:type="continuationSeparator" w:id="0">
    <w:p w14:paraId="1AC6806C" w14:textId="77777777" w:rsidR="00E12205" w:rsidRDefault="00E1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690E" w14:textId="77777777" w:rsidR="00E12205" w:rsidRDefault="00E12205">
      <w:pPr>
        <w:spacing w:after="0" w:line="240" w:lineRule="auto"/>
      </w:pPr>
      <w:r>
        <w:separator/>
      </w:r>
    </w:p>
  </w:footnote>
  <w:footnote w:type="continuationSeparator" w:id="0">
    <w:p w14:paraId="7421D1EE" w14:textId="77777777" w:rsidR="00E12205" w:rsidRDefault="00E12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111FA" w14:textId="7B6608F3" w:rsidR="00D71205" w:rsidRPr="00636389" w:rsidRDefault="00E12205">
    <w:pPr>
      <w:pStyle w:val="Header"/>
      <w:rPr>
        <w:rFonts w:ascii="Times New Roman" w:hAnsi="Times New Roman" w:cs="Times New Roman"/>
      </w:rPr>
    </w:pPr>
    <w:r w:rsidRPr="00636389">
      <w:rPr>
        <w:rFonts w:ascii="Times New Roman" w:hAnsi="Times New Roman" w:cs="Times New Roman"/>
      </w:rPr>
      <w:t xml:space="preserve">ARTICLE SUMMARY AND REFLECTION </w:t>
    </w:r>
    <w:sdt>
      <w:sdtPr>
        <w:rPr>
          <w:rFonts w:ascii="Times New Roman" w:hAnsi="Times New Roman" w:cs="Times New Roman"/>
        </w:rPr>
        <w:id w:val="-2323966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36389">
          <w:rPr>
            <w:rFonts w:ascii="Times New Roman" w:hAnsi="Times New Roman" w:cs="Times New Roman"/>
          </w:rPr>
          <w:tab/>
        </w:r>
        <w:r w:rsidRPr="00636389">
          <w:rPr>
            <w:rFonts w:ascii="Times New Roman" w:hAnsi="Times New Roman" w:cs="Times New Roman"/>
          </w:rPr>
          <w:tab/>
        </w:r>
        <w:r w:rsidRPr="00636389">
          <w:rPr>
            <w:rFonts w:ascii="Times New Roman" w:hAnsi="Times New Roman" w:cs="Times New Roman"/>
          </w:rPr>
          <w:fldChar w:fldCharType="begin"/>
        </w:r>
        <w:r w:rsidRPr="00636389">
          <w:rPr>
            <w:rFonts w:ascii="Times New Roman" w:hAnsi="Times New Roman" w:cs="Times New Roman"/>
          </w:rPr>
          <w:instrText xml:space="preserve"> PAGE   \* MERGEFORMAT </w:instrText>
        </w:r>
        <w:r w:rsidRPr="00636389">
          <w:rPr>
            <w:rFonts w:ascii="Times New Roman" w:hAnsi="Times New Roman" w:cs="Times New Roman"/>
          </w:rPr>
          <w:fldChar w:fldCharType="separate"/>
        </w:r>
        <w:r w:rsidR="001E39AA" w:rsidRPr="00636389">
          <w:rPr>
            <w:rFonts w:ascii="Times New Roman" w:hAnsi="Times New Roman" w:cs="Times New Roman"/>
            <w:noProof/>
          </w:rPr>
          <w:t>4</w:t>
        </w:r>
        <w:r w:rsidRPr="00636389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66EA9" w14:textId="662C38FB" w:rsidR="00D71205" w:rsidRPr="00D5780C" w:rsidRDefault="00E12205">
    <w:pPr>
      <w:pStyle w:val="Header"/>
      <w:rPr>
        <w:rFonts w:ascii="Times New Roman" w:hAnsi="Times New Roman" w:cs="Times New Roman"/>
      </w:rPr>
    </w:pPr>
    <w:r w:rsidRPr="00D5780C">
      <w:rPr>
        <w:rFonts w:ascii="Times New Roman" w:hAnsi="Times New Roman" w:cs="Times New Roman"/>
      </w:rPr>
      <w:t xml:space="preserve">Running head: </w:t>
    </w:r>
    <w:r w:rsidR="00D5780C" w:rsidRPr="00D5780C">
      <w:rPr>
        <w:rFonts w:ascii="Times New Roman" w:hAnsi="Times New Roman" w:cs="Times New Roman"/>
      </w:rPr>
      <w:t xml:space="preserve">ARTICLE </w:t>
    </w:r>
    <w:r w:rsidRPr="00D5780C">
      <w:rPr>
        <w:rFonts w:ascii="Times New Roman" w:hAnsi="Times New Roman" w:cs="Times New Roman"/>
      </w:rPr>
      <w:t xml:space="preserve">SUMMARY AND REFLECTION </w:t>
    </w:r>
    <w:sdt>
      <w:sdtPr>
        <w:rPr>
          <w:rFonts w:ascii="Times New Roman" w:hAnsi="Times New Roman" w:cs="Times New Roman"/>
        </w:rPr>
        <w:id w:val="-6208448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5780C">
          <w:rPr>
            <w:rFonts w:ascii="Times New Roman" w:hAnsi="Times New Roman" w:cs="Times New Roman"/>
          </w:rPr>
          <w:tab/>
        </w:r>
        <w:r w:rsidRPr="00D5780C">
          <w:rPr>
            <w:rFonts w:ascii="Times New Roman" w:hAnsi="Times New Roman" w:cs="Times New Roman"/>
          </w:rPr>
          <w:fldChar w:fldCharType="begin"/>
        </w:r>
        <w:r w:rsidRPr="00D5780C">
          <w:rPr>
            <w:rFonts w:ascii="Times New Roman" w:hAnsi="Times New Roman" w:cs="Times New Roman"/>
          </w:rPr>
          <w:instrText xml:space="preserve"> PAGE   \* MERGEFORMAT </w:instrText>
        </w:r>
        <w:r w:rsidRPr="00D5780C">
          <w:rPr>
            <w:rFonts w:ascii="Times New Roman" w:hAnsi="Times New Roman" w:cs="Times New Roman"/>
          </w:rPr>
          <w:fldChar w:fldCharType="separate"/>
        </w:r>
        <w:r w:rsidR="001E39AA" w:rsidRPr="00D5780C">
          <w:rPr>
            <w:rFonts w:ascii="Times New Roman" w:hAnsi="Times New Roman" w:cs="Times New Roman"/>
            <w:noProof/>
          </w:rPr>
          <w:t>1</w:t>
        </w:r>
        <w:r w:rsidRPr="00D5780C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6BE"/>
    <w:rsid w:val="000123FF"/>
    <w:rsid w:val="00020DA5"/>
    <w:rsid w:val="00044AAC"/>
    <w:rsid w:val="00070E15"/>
    <w:rsid w:val="000B6252"/>
    <w:rsid w:val="000F59B7"/>
    <w:rsid w:val="001D5555"/>
    <w:rsid w:val="001E39AA"/>
    <w:rsid w:val="0020059B"/>
    <w:rsid w:val="002C278C"/>
    <w:rsid w:val="004273F4"/>
    <w:rsid w:val="00636389"/>
    <w:rsid w:val="00750C7A"/>
    <w:rsid w:val="007751B2"/>
    <w:rsid w:val="007C73AD"/>
    <w:rsid w:val="008776BE"/>
    <w:rsid w:val="008D12CA"/>
    <w:rsid w:val="009B6304"/>
    <w:rsid w:val="00BC10BC"/>
    <w:rsid w:val="00CB7FE8"/>
    <w:rsid w:val="00D5780C"/>
    <w:rsid w:val="00D71205"/>
    <w:rsid w:val="00DB6068"/>
    <w:rsid w:val="00DD17FC"/>
    <w:rsid w:val="00E12205"/>
    <w:rsid w:val="00E634C8"/>
    <w:rsid w:val="00EA2C88"/>
    <w:rsid w:val="00EC57D5"/>
    <w:rsid w:val="00EE38DF"/>
    <w:rsid w:val="00EF1BE7"/>
    <w:rsid w:val="00F16321"/>
    <w:rsid w:val="00FA6B1A"/>
    <w:rsid w:val="00FD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F5E11"/>
  <w15:chartTrackingRefBased/>
  <w15:docId w15:val="{F943C33F-3262-4C91-AD0B-5E0B5995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4AA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1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205"/>
  </w:style>
  <w:style w:type="paragraph" w:styleId="Footer">
    <w:name w:val="footer"/>
    <w:basedOn w:val="Normal"/>
    <w:link w:val="FooterChar"/>
    <w:uiPriority w:val="99"/>
    <w:unhideWhenUsed/>
    <w:rsid w:val="00D71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riesjournal.com/articles/1421/life-course-criminology-comparing-the-dual-taxonomy-and-age-graded-theories-of-criminal-behavio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52</cp:revision>
  <dcterms:created xsi:type="dcterms:W3CDTF">2019-02-26T07:35:00Z</dcterms:created>
  <dcterms:modified xsi:type="dcterms:W3CDTF">2019-02-26T17:51:00Z</dcterms:modified>
</cp:coreProperties>
</file>